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仿宋_GB2312" w:hAnsi="仿宋_GB2312" w:eastAsia="仿宋_GB2312"/>
          <w:sz w:val="32"/>
          <w:szCs w:val="32"/>
        </w:rPr>
      </w:pPr>
      <w:bookmarkStart w:id="0" w:name="_GoBack"/>
      <w:bookmarkEnd w:id="0"/>
      <w:r>
        <w:rPr>
          <w:rFonts w:ascii="仿宋_GB2312" w:hAnsi="仿宋_GB2312" w:eastAsia="仿宋_GB2312"/>
          <w:sz w:val="32"/>
          <w:szCs w:val="32"/>
        </w:rPr>
        <w:t>附件1</w:t>
      </w:r>
    </w:p>
    <w:p>
      <w:pPr>
        <w:keepNext w:val="0"/>
        <w:keepLines w:val="0"/>
        <w:pageBreakBefore w:val="0"/>
        <w:kinsoku/>
        <w:wordWrap/>
        <w:overflowPunct/>
        <w:topLinePunct w:val="0"/>
        <w:autoSpaceDN/>
        <w:bidi w:val="0"/>
        <w:adjustRightInd/>
        <w:spacing w:line="540" w:lineRule="exact"/>
        <w:jc w:val="left"/>
        <w:textAlignment w:val="auto"/>
        <w:rPr>
          <w:rFonts w:ascii="??_GB2312" w:hAnsi="??_GB2312" w:eastAsia="??_GB2312"/>
          <w:sz w:val="32"/>
          <w:szCs w:val="32"/>
        </w:rPr>
      </w:pPr>
    </w:p>
    <w:p>
      <w:pPr>
        <w:keepNext w:val="0"/>
        <w:keepLines w:val="0"/>
        <w:pageBreakBefore w:val="0"/>
        <w:widowControl w:val="0"/>
        <w:kinsoku/>
        <w:wordWrap/>
        <w:overflowPunct/>
        <w:topLinePunct w:val="0"/>
        <w:autoSpaceDN/>
        <w:bidi w:val="0"/>
        <w:adjustRightInd/>
        <w:spacing w:line="540" w:lineRule="exact"/>
        <w:jc w:val="center"/>
        <w:textAlignment w:val="auto"/>
        <w:rPr>
          <w:rFonts w:ascii="方正小标宋简体" w:hAnsi="仿宋" w:eastAsia="方正小标宋简体"/>
          <w:kern w:val="2"/>
          <w:sz w:val="44"/>
          <w:szCs w:val="44"/>
        </w:rPr>
      </w:pPr>
      <w:r>
        <w:rPr>
          <w:rFonts w:ascii="方正小标宋简体" w:hAnsi="仿宋" w:eastAsia="方正小标宋简体"/>
          <w:kern w:val="2"/>
          <w:sz w:val="44"/>
          <w:szCs w:val="44"/>
        </w:rPr>
        <w:t>第</w:t>
      </w:r>
      <w:r>
        <w:rPr>
          <w:rFonts w:hint="eastAsia" w:ascii="方正小标宋简体" w:hAnsi="仿宋" w:eastAsia="方正小标宋简体"/>
          <w:kern w:val="2"/>
          <w:sz w:val="44"/>
          <w:szCs w:val="44"/>
        </w:rPr>
        <w:t>七</w:t>
      </w:r>
      <w:r>
        <w:rPr>
          <w:rFonts w:ascii="方正小标宋简体" w:hAnsi="仿宋" w:eastAsia="方正小标宋简体"/>
          <w:kern w:val="2"/>
          <w:sz w:val="44"/>
          <w:szCs w:val="44"/>
        </w:rPr>
        <w:t>届哈尔滨市科普讲解大</w:t>
      </w:r>
      <w:r>
        <w:rPr>
          <w:rFonts w:hint="eastAsia" w:ascii="方正小标宋简体" w:hAnsi="仿宋" w:eastAsia="方正小标宋简体"/>
          <w:kern w:val="2"/>
          <w:sz w:val="44"/>
          <w:szCs w:val="44"/>
        </w:rPr>
        <w:t>赛实施</w:t>
      </w:r>
      <w:r>
        <w:rPr>
          <w:rFonts w:ascii="方正小标宋简体" w:hAnsi="仿宋" w:eastAsia="方正小标宋简体"/>
          <w:kern w:val="2"/>
          <w:sz w:val="44"/>
          <w:szCs w:val="44"/>
        </w:rPr>
        <w:t>方案</w:t>
      </w:r>
    </w:p>
    <w:p>
      <w:pPr>
        <w:keepNext w:val="0"/>
        <w:keepLines w:val="0"/>
        <w:pageBreakBefore w:val="0"/>
        <w:widowControl w:val="0"/>
        <w:kinsoku/>
        <w:wordWrap/>
        <w:overflowPunct/>
        <w:topLinePunct w:val="0"/>
        <w:autoSpaceDN/>
        <w:bidi w:val="0"/>
        <w:adjustRightInd/>
        <w:spacing w:line="540" w:lineRule="exact"/>
        <w:jc w:val="center"/>
        <w:textAlignment w:val="auto"/>
        <w:rPr>
          <w:rFonts w:ascii="方正小标宋简体" w:hAnsi="仿宋" w:eastAsia="方正小标宋简体"/>
          <w:kern w:val="2"/>
          <w:sz w:val="44"/>
          <w:szCs w:val="44"/>
        </w:rPr>
      </w:pPr>
    </w:p>
    <w:p>
      <w:pPr>
        <w:pStyle w:val="2"/>
        <w:keepNext w:val="0"/>
        <w:keepLines w:val="0"/>
        <w:pageBreakBefore w:val="0"/>
        <w:numPr>
          <w:ilvl w:val="0"/>
          <w:numId w:val="1"/>
        </w:numPr>
        <w:tabs>
          <w:tab w:val="left" w:pos="7655"/>
        </w:tabs>
        <w:kinsoku/>
        <w:wordWrap/>
        <w:overflowPunct/>
        <w:topLinePunct w:val="0"/>
        <w:autoSpaceDN/>
        <w:bidi w:val="0"/>
        <w:adjustRightInd/>
        <w:spacing w:line="540" w:lineRule="exact"/>
        <w:ind w:firstLine="640" w:firstLineChars="200"/>
        <w:textAlignment w:val="auto"/>
        <w:rPr>
          <w:rFonts w:hint="eastAsia" w:ascii="黑体" w:hAnsi="黑体" w:eastAsia="黑体"/>
          <w:sz w:val="32"/>
          <w:szCs w:val="32"/>
        </w:rPr>
      </w:pPr>
      <w:r>
        <w:rPr>
          <w:rFonts w:ascii="黑体" w:hAnsi="黑体" w:eastAsia="黑体"/>
          <w:sz w:val="32"/>
          <w:szCs w:val="32"/>
        </w:rPr>
        <w:t>大赛</w:t>
      </w:r>
      <w:r>
        <w:rPr>
          <w:rFonts w:hint="eastAsia" w:ascii="黑体" w:hAnsi="黑体" w:eastAsia="黑体"/>
          <w:sz w:val="32"/>
          <w:szCs w:val="32"/>
        </w:rPr>
        <w:t>主题</w:t>
      </w:r>
    </w:p>
    <w:p>
      <w:pPr>
        <w:keepNext w:val="0"/>
        <w:keepLines w:val="0"/>
        <w:pageBreakBefore w:val="0"/>
        <w:shd w:val="clear" w:color="000000" w:fill="auto"/>
        <w:tabs>
          <w:tab w:val="left" w:pos="916"/>
          <w:tab w:val="left" w:pos="1832"/>
          <w:tab w:val="left" w:pos="2748"/>
          <w:tab w:val="left" w:pos="3664"/>
          <w:tab w:val="left" w:pos="4580"/>
          <w:tab w:val="left" w:pos="5496"/>
          <w:tab w:val="left" w:pos="6412"/>
          <w:tab w:val="left" w:pos="7328"/>
          <w:tab w:val="left" w:pos="8244"/>
          <w:tab w:val="left" w:pos="9160"/>
        </w:tabs>
        <w:kinsoku/>
        <w:wordWrap/>
        <w:overflowPunct/>
        <w:topLinePunct w:val="0"/>
        <w:autoSpaceDN/>
        <w:bidi w:val="0"/>
        <w:adjustRightInd/>
        <w:spacing w:line="540" w:lineRule="exact"/>
        <w:ind w:firstLine="616" w:firstLineChars="200"/>
        <w:textAlignment w:val="auto"/>
        <w:rPr>
          <w:rFonts w:hAnsi="仿宋_GB2312" w:eastAsia="仿宋_GB2312"/>
          <w:spacing w:val="-6"/>
          <w:sz w:val="32"/>
          <w:szCs w:val="32"/>
          <w:lang w:val="en"/>
        </w:rPr>
      </w:pPr>
      <w:r>
        <w:rPr>
          <w:rFonts w:hAnsi="仿宋_GB2312" w:eastAsia="仿宋_GB2312"/>
          <w:spacing w:val="-6"/>
          <w:sz w:val="32"/>
          <w:szCs w:val="32"/>
          <w:lang w:val="en"/>
        </w:rPr>
        <w:t>弘扬科学家精神 激发全社会创新活力</w:t>
      </w:r>
    </w:p>
    <w:p>
      <w:pPr>
        <w:keepNext w:val="0"/>
        <w:keepLines w:val="0"/>
        <w:pageBreakBefore w:val="0"/>
        <w:kinsoku/>
        <w:wordWrap/>
        <w:overflowPunct/>
        <w:topLinePunct w:val="0"/>
        <w:autoSpaceDN/>
        <w:bidi w:val="0"/>
        <w:adjustRightInd/>
        <w:spacing w:line="540" w:lineRule="exact"/>
        <w:ind w:firstLine="640" w:firstLineChars="200"/>
        <w:textAlignment w:val="auto"/>
        <w:rPr>
          <w:rFonts w:ascii="黑体" w:hAnsi="黑体" w:eastAsia="黑体"/>
          <w:sz w:val="32"/>
          <w:szCs w:val="32"/>
        </w:rPr>
      </w:pPr>
      <w:r>
        <w:rPr>
          <w:rFonts w:ascii="黑体" w:hAnsi="黑体" w:eastAsia="黑体"/>
          <w:sz w:val="32"/>
          <w:szCs w:val="32"/>
        </w:rPr>
        <w:t>二、活动组织</w:t>
      </w:r>
    </w:p>
    <w:p>
      <w:pPr>
        <w:keepNext w:val="0"/>
        <w:keepLines w:val="0"/>
        <w:pageBreakBefore w:val="0"/>
        <w:kinsoku/>
        <w:wordWrap/>
        <w:overflowPunct/>
        <w:topLinePunct w:val="0"/>
        <w:autoSpaceDN/>
        <w:bidi w:val="0"/>
        <w:adjustRightInd/>
        <w:spacing w:line="540" w:lineRule="exact"/>
        <w:ind w:firstLine="616" w:firstLineChars="200"/>
        <w:jc w:val="left"/>
        <w:textAlignment w:val="auto"/>
        <w:rPr>
          <w:rFonts w:hAnsi="仿宋_GB2312" w:eastAsia="仿宋_GB2312"/>
          <w:spacing w:val="-6"/>
          <w:sz w:val="32"/>
          <w:szCs w:val="32"/>
        </w:rPr>
      </w:pPr>
      <w:r>
        <w:rPr>
          <w:rFonts w:hAnsi="仿宋_GB2312" w:eastAsia="仿宋_GB2312"/>
          <w:spacing w:val="-6"/>
          <w:sz w:val="32"/>
          <w:szCs w:val="32"/>
        </w:rPr>
        <w:t>主办单位：哈尔滨市科学技术局 哈尔滨市科学技术协会</w:t>
      </w:r>
      <w:r>
        <w:rPr>
          <w:rFonts w:ascii="宋体" w:hAnsi="宋体" w:eastAsia="宋体" w:cs="宋体"/>
          <w:sz w:val="24"/>
          <w:szCs w:val="24"/>
          <w:lang w:bidi="ar"/>
        </w:rPr>
        <w:fldChar w:fldCharType="begin"/>
      </w:r>
      <w:r>
        <w:rPr>
          <w:rFonts w:ascii="宋体" w:hAnsi="宋体" w:eastAsia="宋体" w:cs="宋体"/>
          <w:sz w:val="24"/>
          <w:szCs w:val="24"/>
          <w:lang w:bidi="ar"/>
        </w:rPr>
        <w:instrText xml:space="preserve"> HYPERLINK "javascript:;" </w:instrText>
      </w:r>
      <w:r>
        <w:rPr>
          <w:rFonts w:ascii="宋体" w:hAnsi="宋体" w:eastAsia="宋体" w:cs="宋体"/>
          <w:sz w:val="24"/>
          <w:szCs w:val="24"/>
          <w:lang w:bidi="ar"/>
        </w:rPr>
        <w:fldChar w:fldCharType="separate"/>
      </w:r>
      <w:r>
        <w:rPr>
          <w:rFonts w:ascii="宋体" w:hAnsi="宋体" w:eastAsia="宋体" w:cs="宋体"/>
          <w:sz w:val="24"/>
          <w:szCs w:val="24"/>
          <w:lang w:bidi="ar"/>
        </w:rPr>
        <w:fldChar w:fldCharType="end"/>
      </w:r>
    </w:p>
    <w:p>
      <w:pPr>
        <w:keepNext w:val="0"/>
        <w:keepLines w:val="0"/>
        <w:pageBreakBefore w:val="0"/>
        <w:widowControl w:val="0"/>
        <w:kinsoku/>
        <w:wordWrap/>
        <w:overflowPunct/>
        <w:topLinePunct w:val="0"/>
        <w:autoSpaceDN/>
        <w:bidi w:val="0"/>
        <w:adjustRightInd/>
        <w:spacing w:line="540" w:lineRule="exact"/>
        <w:ind w:firstLine="645"/>
        <w:textAlignment w:val="auto"/>
        <w:rPr>
          <w:rFonts w:ascii="仿宋_GB2312" w:hAnsi="仿宋" w:eastAsia="仿宋_GB2312"/>
          <w:kern w:val="2"/>
          <w:sz w:val="32"/>
          <w:szCs w:val="32"/>
        </w:rPr>
      </w:pPr>
      <w:r>
        <w:rPr>
          <w:rFonts w:ascii="仿宋_GB2312" w:hAnsi="仿宋" w:eastAsia="仿宋_GB2312"/>
          <w:kern w:val="2"/>
          <w:sz w:val="32"/>
          <w:szCs w:val="32"/>
        </w:rPr>
        <w:t>协办单位：</w:t>
      </w:r>
      <w:r>
        <w:rPr>
          <w:rFonts w:hint="eastAsia" w:ascii="仿宋_GB2312" w:hAnsi="仿宋" w:eastAsia="仿宋_GB2312"/>
          <w:kern w:val="2"/>
          <w:sz w:val="32"/>
          <w:szCs w:val="32"/>
        </w:rPr>
        <w:t xml:space="preserve">深圳（哈尔滨）产业园投资开发有限公司 </w:t>
      </w:r>
    </w:p>
    <w:p>
      <w:pPr>
        <w:keepNext w:val="0"/>
        <w:keepLines w:val="0"/>
        <w:pageBreakBefore w:val="0"/>
        <w:kinsoku/>
        <w:wordWrap/>
        <w:overflowPunct/>
        <w:topLinePunct w:val="0"/>
        <w:autoSpaceDN/>
        <w:bidi w:val="0"/>
        <w:adjustRightInd/>
        <w:spacing w:line="540" w:lineRule="exact"/>
        <w:ind w:firstLine="640" w:firstLineChars="200"/>
        <w:textAlignment w:val="auto"/>
        <w:rPr>
          <w:rFonts w:ascii="黑体" w:hAnsi="黑体" w:eastAsia="黑体"/>
          <w:sz w:val="32"/>
          <w:szCs w:val="32"/>
        </w:rPr>
      </w:pPr>
      <w:r>
        <w:rPr>
          <w:rFonts w:ascii="黑体" w:hAnsi="黑体" w:eastAsia="黑体"/>
          <w:sz w:val="32"/>
          <w:szCs w:val="32"/>
        </w:rPr>
        <w:t>三、比赛时间和地点</w:t>
      </w:r>
    </w:p>
    <w:p>
      <w:pPr>
        <w:keepNext w:val="0"/>
        <w:keepLines w:val="0"/>
        <w:pageBreakBefore w:val="0"/>
        <w:shd w:val="clear" w:color="000000" w:fill="auto"/>
        <w:tabs>
          <w:tab w:val="left" w:pos="916"/>
          <w:tab w:val="left" w:pos="1832"/>
          <w:tab w:val="left" w:pos="2748"/>
          <w:tab w:val="left" w:pos="3664"/>
          <w:tab w:val="left" w:pos="4580"/>
          <w:tab w:val="left" w:pos="5496"/>
          <w:tab w:val="left" w:pos="6412"/>
          <w:tab w:val="left" w:pos="7328"/>
          <w:tab w:val="left" w:pos="8244"/>
          <w:tab w:val="left" w:pos="9160"/>
        </w:tabs>
        <w:kinsoku/>
        <w:wordWrap/>
        <w:overflowPunct/>
        <w:topLinePunct w:val="0"/>
        <w:autoSpaceDN/>
        <w:bidi w:val="0"/>
        <w:adjustRightIn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1.比赛时间：2024年4月11-12日</w:t>
      </w:r>
    </w:p>
    <w:p>
      <w:pPr>
        <w:keepNext w:val="0"/>
        <w:keepLines w:val="0"/>
        <w:pageBreakBefore w:val="0"/>
        <w:shd w:val="clear" w:color="000000" w:fill="auto"/>
        <w:tabs>
          <w:tab w:val="left" w:pos="916"/>
          <w:tab w:val="left" w:pos="1832"/>
          <w:tab w:val="left" w:pos="2748"/>
          <w:tab w:val="left" w:pos="3664"/>
          <w:tab w:val="left" w:pos="4580"/>
          <w:tab w:val="left" w:pos="5496"/>
          <w:tab w:val="left" w:pos="6412"/>
          <w:tab w:val="left" w:pos="7328"/>
          <w:tab w:val="left" w:pos="8244"/>
          <w:tab w:val="left" w:pos="9160"/>
        </w:tabs>
        <w:kinsoku/>
        <w:wordWrap/>
        <w:overflowPunct/>
        <w:topLinePunct w:val="0"/>
        <w:autoSpaceDN/>
        <w:bidi w:val="0"/>
        <w:adjustRightInd/>
        <w:spacing w:line="540" w:lineRule="exact"/>
        <w:ind w:firstLine="640" w:firstLineChars="200"/>
        <w:textAlignment w:val="auto"/>
        <w:rPr>
          <w:rFonts w:hint="eastAsia" w:ascii="仿宋_GB2312" w:hAnsi="仿宋" w:eastAsia="仿宋_GB2312"/>
          <w:kern w:val="2"/>
          <w:sz w:val="32"/>
          <w:szCs w:val="32"/>
        </w:rPr>
      </w:pPr>
      <w:r>
        <w:rPr>
          <w:rFonts w:hint="eastAsia" w:ascii="仿宋_GB2312" w:hAnsi="仿宋_GB2312" w:eastAsia="仿宋_GB2312" w:cs="仿宋_GB2312"/>
          <w:sz w:val="32"/>
          <w:szCs w:val="32"/>
        </w:rPr>
        <w:t>2.比赛地点：</w:t>
      </w:r>
      <w:r>
        <w:rPr>
          <w:rFonts w:hint="eastAsia" w:ascii="仿宋_GB2312" w:hAnsi="仿宋_GB2312" w:eastAsia="仿宋_GB2312" w:cs="仿宋_GB2312"/>
          <w:color w:val="000000"/>
          <w:sz w:val="32"/>
          <w:szCs w:val="32"/>
          <w:lang w:bidi="ar"/>
        </w:rPr>
        <w:t>哈尔滨科技大市场一楼报告厅（松北区智谷大街288号，智谷大街与紫旭路交口）</w:t>
      </w:r>
    </w:p>
    <w:p>
      <w:pPr>
        <w:keepNext w:val="0"/>
        <w:keepLines w:val="0"/>
        <w:pageBreakBefore w:val="0"/>
        <w:kinsoku/>
        <w:wordWrap/>
        <w:overflowPunct/>
        <w:topLinePunct w:val="0"/>
        <w:autoSpaceDN/>
        <w:bidi w:val="0"/>
        <w:adjustRightInd/>
        <w:spacing w:line="540" w:lineRule="exact"/>
        <w:ind w:firstLine="640" w:firstLineChars="200"/>
        <w:textAlignment w:val="auto"/>
        <w:rPr>
          <w:rFonts w:ascii="黑体" w:hAnsi="黑体" w:eastAsia="黑体"/>
          <w:color w:val="000000"/>
          <w:sz w:val="32"/>
          <w:szCs w:val="32"/>
        </w:rPr>
      </w:pPr>
      <w:r>
        <w:rPr>
          <w:rFonts w:ascii="黑体" w:hAnsi="黑体" w:eastAsia="黑体"/>
          <w:sz w:val="32"/>
          <w:szCs w:val="32"/>
        </w:rPr>
        <w:t>四、参赛范围与报名条件</w:t>
      </w:r>
    </w:p>
    <w:p>
      <w:pPr>
        <w:keepNext w:val="0"/>
        <w:keepLines w:val="0"/>
        <w:pageBreakBefore w:val="0"/>
        <w:shd w:val="clear" w:color="000000" w:fill="auto"/>
        <w:tabs>
          <w:tab w:val="left" w:pos="916"/>
          <w:tab w:val="left" w:pos="1832"/>
          <w:tab w:val="left" w:pos="2748"/>
          <w:tab w:val="left" w:pos="3664"/>
          <w:tab w:val="left" w:pos="4580"/>
          <w:tab w:val="left" w:pos="5496"/>
          <w:tab w:val="left" w:pos="6412"/>
          <w:tab w:val="left" w:pos="7328"/>
          <w:tab w:val="left" w:pos="8244"/>
          <w:tab w:val="left" w:pos="9160"/>
        </w:tabs>
        <w:kinsoku/>
        <w:wordWrap/>
        <w:overflowPunct/>
        <w:topLinePunct w:val="0"/>
        <w:autoSpaceDN/>
        <w:bidi w:val="0"/>
        <w:adjustRightInd/>
        <w:spacing w:line="540" w:lineRule="exact"/>
        <w:ind w:firstLine="640" w:firstLineChars="200"/>
        <w:textAlignment w:val="auto"/>
        <w:rPr>
          <w:rFonts w:hint="eastAsia" w:ascii="仿宋_GB2312" w:hAnsi="仿宋_GB2312" w:eastAsia="仿宋_GB2312" w:cs="仿宋_GB2312"/>
          <w:sz w:val="32"/>
          <w:szCs w:val="28"/>
        </w:rPr>
      </w:pPr>
      <w:r>
        <w:rPr>
          <w:rFonts w:ascii="仿宋_GB2312" w:hAnsi="仿宋_GB2312" w:eastAsia="仿宋_GB2312"/>
          <w:color w:val="000000"/>
          <w:sz w:val="32"/>
          <w:szCs w:val="32"/>
        </w:rPr>
        <w:t>1</w:t>
      </w:r>
      <w:r>
        <w:rPr>
          <w:rFonts w:ascii="仿宋_GB2312" w:hAnsi="宋体" w:eastAsia="宋体"/>
          <w:color w:val="000000"/>
          <w:sz w:val="32"/>
          <w:szCs w:val="32"/>
        </w:rPr>
        <w:t>.</w:t>
      </w:r>
      <w:r>
        <w:rPr>
          <w:rFonts w:ascii="仿宋_GB2312" w:hAnsi="仿宋_GB2312" w:eastAsia="仿宋_GB2312"/>
          <w:color w:val="000000"/>
          <w:sz w:val="32"/>
          <w:szCs w:val="32"/>
        </w:rPr>
        <w:t>在哈科普场馆、</w:t>
      </w:r>
      <w:r>
        <w:rPr>
          <w:rFonts w:ascii="仿宋_GB2312" w:hAnsi="仿宋_GB2312" w:eastAsia="仿宋_GB2312"/>
          <w:sz w:val="32"/>
          <w:szCs w:val="32"/>
        </w:rPr>
        <w:t>科普基地、高校、科研院所、</w:t>
      </w:r>
      <w:r>
        <w:rPr>
          <w:rFonts w:hint="eastAsia" w:ascii="仿宋_GB2312" w:hAnsi="仿宋_GB2312" w:eastAsia="仿宋_GB2312"/>
          <w:sz w:val="32"/>
          <w:szCs w:val="32"/>
        </w:rPr>
        <w:t>事业单位、</w:t>
      </w:r>
      <w:r>
        <w:rPr>
          <w:rFonts w:ascii="仿宋_GB2312" w:hAnsi="仿宋_GB2312" w:eastAsia="仿宋_GB2312"/>
          <w:sz w:val="32"/>
          <w:szCs w:val="32"/>
        </w:rPr>
        <w:t>科技园区、企业</w:t>
      </w:r>
      <w:r>
        <w:rPr>
          <w:rFonts w:ascii="仿宋_GB2312" w:hAnsi="仿宋_GB2312" w:eastAsia="仿宋_GB2312"/>
          <w:color w:val="000000"/>
          <w:sz w:val="32"/>
          <w:szCs w:val="32"/>
        </w:rPr>
        <w:t>等以本单位名义直接报名，每个参赛单</w:t>
      </w:r>
      <w:r>
        <w:rPr>
          <w:rFonts w:hint="eastAsia" w:ascii="仿宋_GB2312" w:hAnsi="仿宋_GB2312" w:eastAsia="仿宋_GB2312" w:cs="仿宋_GB2312"/>
          <w:sz w:val="32"/>
          <w:szCs w:val="28"/>
        </w:rPr>
        <w:t>位不超过2人（含2人），已经由相关单位推荐的，不得重复报名；</w:t>
      </w:r>
    </w:p>
    <w:p>
      <w:pPr>
        <w:keepNext w:val="0"/>
        <w:keepLines w:val="0"/>
        <w:pageBreakBefore w:val="0"/>
        <w:shd w:val="clear" w:color="000000" w:fill="auto"/>
        <w:tabs>
          <w:tab w:val="left" w:pos="916"/>
          <w:tab w:val="left" w:pos="1832"/>
          <w:tab w:val="left" w:pos="2748"/>
          <w:tab w:val="left" w:pos="3664"/>
          <w:tab w:val="left" w:pos="4580"/>
          <w:tab w:val="left" w:pos="5496"/>
          <w:tab w:val="left" w:pos="6412"/>
          <w:tab w:val="left" w:pos="7328"/>
          <w:tab w:val="left" w:pos="8244"/>
          <w:tab w:val="left" w:pos="9160"/>
        </w:tabs>
        <w:kinsoku/>
        <w:wordWrap/>
        <w:overflowPunct/>
        <w:topLinePunct w:val="0"/>
        <w:autoSpaceDN/>
        <w:bidi w:val="0"/>
        <w:adjustRightInd/>
        <w:spacing w:line="54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28"/>
        </w:rPr>
        <w:t>2.参赛选手应</w:t>
      </w:r>
      <w:r>
        <w:rPr>
          <w:rFonts w:ascii="仿宋_GB2312" w:hAnsi="仿宋_GB2312" w:eastAsia="仿宋_GB2312"/>
          <w:sz w:val="32"/>
          <w:szCs w:val="32"/>
        </w:rPr>
        <w:t>为</w:t>
      </w:r>
      <w:r>
        <w:rPr>
          <w:rFonts w:hint="eastAsia" w:ascii="仿宋_GB2312" w:hAnsi="仿宋_GB2312" w:eastAsia="仿宋_GB2312"/>
          <w:sz w:val="32"/>
          <w:szCs w:val="32"/>
        </w:rPr>
        <w:t>科普工作者、专职及兼职科普讲解人员、科学传播爱好者（职业不限、年龄</w:t>
      </w:r>
      <w:r>
        <w:rPr>
          <w:rFonts w:ascii="仿宋_GB2312" w:hAnsi="仿宋_GB2312" w:eastAsia="仿宋_GB2312"/>
          <w:sz w:val="32"/>
          <w:szCs w:val="32"/>
        </w:rPr>
        <w:t>1</w:t>
      </w:r>
      <w:r>
        <w:rPr>
          <w:rFonts w:hint="eastAsia" w:ascii="仿宋_GB2312" w:hAnsi="仿宋_GB2312" w:eastAsia="仿宋_GB2312"/>
          <w:sz w:val="32"/>
          <w:szCs w:val="32"/>
        </w:rPr>
        <w:t>6</w:t>
      </w:r>
      <w:r>
        <w:rPr>
          <w:rFonts w:ascii="仿宋_GB2312" w:hAnsi="仿宋_GB2312" w:eastAsia="仿宋_GB2312"/>
          <w:sz w:val="32"/>
          <w:szCs w:val="32"/>
        </w:rPr>
        <w:t>周岁以上</w:t>
      </w:r>
      <w:r>
        <w:rPr>
          <w:rFonts w:hint="eastAsia" w:ascii="仿宋_GB2312" w:hAnsi="仿宋_GB2312" w:eastAsia="仿宋_GB2312"/>
          <w:sz w:val="32"/>
          <w:szCs w:val="32"/>
        </w:rPr>
        <w:t>）等</w:t>
      </w:r>
      <w:r>
        <w:rPr>
          <w:rFonts w:ascii="仿宋_GB2312" w:hAnsi="仿宋_GB2312" w:eastAsia="仿宋_GB2312"/>
          <w:sz w:val="32"/>
          <w:szCs w:val="32"/>
        </w:rPr>
        <w:t>,</w:t>
      </w:r>
      <w:r>
        <w:rPr>
          <w:rFonts w:hint="eastAsia" w:ascii="仿宋_GB2312" w:hAnsi="仿宋_GB2312" w:eastAsia="仿宋_GB2312"/>
          <w:sz w:val="32"/>
          <w:szCs w:val="32"/>
        </w:rPr>
        <w:t>鼓励广大科技人员参赛。参赛选手</w:t>
      </w:r>
      <w:r>
        <w:rPr>
          <w:rFonts w:ascii="仿宋_GB2312" w:hAnsi="仿宋_GB2312" w:eastAsia="仿宋_GB2312"/>
          <w:sz w:val="32"/>
          <w:szCs w:val="32"/>
        </w:rPr>
        <w:t>具备使用标准普通话讲解的能力；</w:t>
      </w:r>
    </w:p>
    <w:p>
      <w:pPr>
        <w:keepNext w:val="0"/>
        <w:keepLines w:val="0"/>
        <w:pageBreakBefore w:val="0"/>
        <w:kinsoku/>
        <w:wordWrap/>
        <w:overflowPunct/>
        <w:topLinePunct w:val="0"/>
        <w:autoSpaceDN/>
        <w:bidi w:val="0"/>
        <w:adjustRightInd/>
        <w:spacing w:line="540" w:lineRule="exact"/>
        <w:ind w:firstLine="640" w:firstLineChars="200"/>
        <w:textAlignment w:val="auto"/>
        <w:rPr>
          <w:rFonts w:ascii="仿宋_GB2312" w:hAnsi="仿宋_GB2312" w:eastAsia="仿宋_GB2312"/>
          <w:color w:val="000000"/>
          <w:sz w:val="32"/>
          <w:szCs w:val="32"/>
          <w:highlight w:val="yellow"/>
        </w:rPr>
      </w:pPr>
      <w:r>
        <w:rPr>
          <w:rFonts w:ascii="仿宋_GB2312" w:hAnsi="仿宋_GB2312" w:eastAsia="仿宋_GB2312"/>
          <w:sz w:val="32"/>
          <w:szCs w:val="32"/>
        </w:rPr>
        <w:t>3.</w:t>
      </w:r>
      <w:r>
        <w:rPr>
          <w:rFonts w:hint="eastAsia" w:ascii="仿宋_GB2312" w:hAnsi="仿宋_GB2312" w:eastAsia="仿宋_GB2312"/>
          <w:sz w:val="32"/>
          <w:szCs w:val="32"/>
        </w:rPr>
        <w:t>已</w:t>
      </w:r>
      <w:r>
        <w:rPr>
          <w:rFonts w:hint="eastAsia" w:ascii="仿宋_GB2312" w:hAnsi="仿宋_GB2312" w:eastAsia="仿宋_GB2312" w:cs="仿宋_GB2312"/>
          <w:sz w:val="32"/>
          <w:szCs w:val="28"/>
        </w:rPr>
        <w:t>推荐参加过全国科普讲解大赛并获一等奖选手不再参加本届比赛。</w:t>
      </w:r>
    </w:p>
    <w:p>
      <w:pPr>
        <w:keepNext w:val="0"/>
        <w:keepLines w:val="0"/>
        <w:pageBreakBefore w:val="0"/>
        <w:kinsoku/>
        <w:wordWrap/>
        <w:overflowPunct/>
        <w:topLinePunct w:val="0"/>
        <w:autoSpaceDN/>
        <w:bidi w:val="0"/>
        <w:adjustRightInd/>
        <w:snapToGrid w:val="0"/>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五、比赛方式和比赛内容</w:t>
      </w:r>
    </w:p>
    <w:p>
      <w:pPr>
        <w:keepNext w:val="0"/>
        <w:keepLines w:val="0"/>
        <w:pageBreakBefore w:val="0"/>
        <w:kinsoku/>
        <w:wordWrap/>
        <w:overflowPunct/>
        <w:topLinePunct w:val="0"/>
        <w:autoSpaceDN/>
        <w:bidi w:val="0"/>
        <w:adjustRightInd/>
        <w:spacing w:line="540" w:lineRule="exact"/>
        <w:ind w:firstLine="640"/>
        <w:textAlignment w:val="auto"/>
        <w:rPr>
          <w:rFonts w:hint="eastAsia" w:ascii="方正楷体_GBK" w:hAnsi="方正楷体_GBK" w:eastAsia="方正楷体_GBK" w:cs="方正楷体_GBK"/>
          <w:color w:val="000000"/>
          <w:sz w:val="32"/>
          <w:szCs w:val="28"/>
        </w:rPr>
      </w:pPr>
      <w:r>
        <w:rPr>
          <w:rFonts w:hint="eastAsia" w:ascii="方正楷体_GBK" w:hAnsi="方正楷体_GBK" w:eastAsia="方正楷体_GBK" w:cs="方正楷体_GBK"/>
          <w:color w:val="000000"/>
          <w:sz w:val="32"/>
          <w:szCs w:val="28"/>
        </w:rPr>
        <w:t>（一）比赛方式</w:t>
      </w:r>
    </w:p>
    <w:p>
      <w:pPr>
        <w:keepNext w:val="0"/>
        <w:keepLines w:val="0"/>
        <w:pageBreakBefore w:val="0"/>
        <w:kinsoku/>
        <w:wordWrap/>
        <w:overflowPunct/>
        <w:topLinePunct w:val="0"/>
        <w:autoSpaceDN/>
        <w:bidi w:val="0"/>
        <w:adjustRightInd/>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比赛分为自主命题讲解和随机命题讲解两轮，总分100分。参赛选手在赛前进行分组，比赛顺序由抽签决定，选手佩戴号码牌按顺序上场比赛，由专家评委现场打分。自主命题和随机命题讲解主题内容以《中国公民科学素质基准》中的自然科学和社会科学知识为主，自主命题环节选手可通过表述设定场景和对象。</w:t>
      </w:r>
    </w:p>
    <w:p>
      <w:pPr>
        <w:keepNext w:val="0"/>
        <w:keepLines w:val="0"/>
        <w:pageBreakBefore w:val="0"/>
        <w:kinsoku/>
        <w:wordWrap/>
        <w:overflowPunct/>
        <w:topLinePunct w:val="0"/>
        <w:autoSpaceDN/>
        <w:bidi w:val="0"/>
        <w:adjustRightInd/>
        <w:snapToGrid w:val="0"/>
        <w:spacing w:line="540" w:lineRule="exact"/>
        <w:ind w:firstLine="709"/>
        <w:textAlignment w:val="auto"/>
        <w:rPr>
          <w:rFonts w:hint="eastAsia" w:ascii="方正楷体_GBK" w:hAnsi="方正楷体_GBK" w:eastAsia="方正楷体_GBK" w:cs="方正楷体_GBK"/>
          <w:bCs/>
          <w:color w:val="000000"/>
          <w:sz w:val="32"/>
          <w:szCs w:val="28"/>
        </w:rPr>
      </w:pPr>
      <w:r>
        <w:rPr>
          <w:rFonts w:hint="eastAsia" w:ascii="方正楷体_GBK" w:hAnsi="方正楷体_GBK" w:eastAsia="方正楷体_GBK" w:cs="方正楷体_GBK"/>
          <w:bCs/>
          <w:color w:val="000000"/>
          <w:sz w:val="32"/>
          <w:szCs w:val="28"/>
        </w:rPr>
        <w:t>（二）比赛内容</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2" w:firstLineChars="200"/>
        <w:jc w:val="both"/>
        <w:textAlignment w:val="auto"/>
        <w:rPr>
          <w:rFonts w:hint="eastAsia" w:ascii="仿宋_GB2312" w:hAnsi="仿宋_GB2312" w:eastAsia="仿宋_GB2312" w:cs="仿宋_GB2312"/>
          <w:sz w:val="32"/>
          <w:szCs w:val="28"/>
        </w:rPr>
      </w:pPr>
      <w:r>
        <w:rPr>
          <w:rFonts w:hint="eastAsia" w:ascii="仿宋" w:hAnsi="仿宋" w:eastAsia="仿宋"/>
          <w:b/>
          <w:color w:val="000000"/>
          <w:sz w:val="32"/>
          <w:szCs w:val="28"/>
        </w:rPr>
        <w:t>1.</w:t>
      </w:r>
      <w:r>
        <w:rPr>
          <w:rFonts w:hint="eastAsia" w:ascii="仿宋_GB2312" w:hAnsi="仿宋_GB2312" w:eastAsia="仿宋_GB2312" w:cs="仿宋_GB2312"/>
          <w:b/>
          <w:bCs/>
          <w:sz w:val="32"/>
          <w:szCs w:val="28"/>
        </w:rPr>
        <w:t>第一轮为自主命题讲解。</w:t>
      </w:r>
      <w:r>
        <w:rPr>
          <w:rFonts w:hint="eastAsia" w:ascii="仿宋_GB2312" w:hAnsi="仿宋_GB2312" w:eastAsia="仿宋_GB2312" w:cs="仿宋_GB2312"/>
          <w:sz w:val="32"/>
          <w:szCs w:val="28"/>
        </w:rPr>
        <w:t>自主命题讲解分成AB两组在同一场地进行比赛（A组比赛完成后再进行B组的比赛），由选手自行确定一个科普命题内容进行讲解</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满分</w:t>
      </w:r>
      <w:r>
        <w:rPr>
          <w:rFonts w:hint="eastAsia" w:ascii="仿宋_GB2312" w:hAnsi="仿宋_GB2312" w:eastAsia="仿宋_GB2312" w:cs="仿宋_GB2312"/>
          <w:sz w:val="32"/>
          <w:szCs w:val="28"/>
          <w:lang w:val="en-US" w:eastAsia="zh-CN"/>
        </w:rPr>
        <w:t>10</w:t>
      </w:r>
      <w:r>
        <w:rPr>
          <w:rFonts w:hint="eastAsia" w:ascii="仿宋_GB2312" w:hAnsi="仿宋_GB2312" w:eastAsia="仿宋_GB2312" w:cs="仿宋_GB2312"/>
          <w:sz w:val="32"/>
          <w:szCs w:val="28"/>
        </w:rPr>
        <w:t>0分</w:t>
      </w:r>
      <w:r>
        <w:rPr>
          <w:rFonts w:hint="eastAsia" w:ascii="仿宋_GB2312" w:hAnsi="仿宋_GB2312" w:eastAsia="仿宋_GB2312" w:cs="仿宋_GB2312"/>
          <w:sz w:val="32"/>
          <w:szCs w:val="28"/>
          <w:lang w:eastAsia="zh-CN"/>
        </w:rPr>
        <w:t>（第一轮最终成绩按照获得成绩</w:t>
      </w:r>
      <w:r>
        <w:rPr>
          <w:rFonts w:ascii="sans-serif" w:hAnsi="sans-serif" w:eastAsia="sans-serif" w:cs="sans-serif"/>
          <w:i w:val="0"/>
          <w:caps w:val="0"/>
          <w:color w:val="333333"/>
          <w:spacing w:val="0"/>
          <w:kern w:val="0"/>
          <w:sz w:val="21"/>
          <w:szCs w:val="21"/>
          <w:lang w:val="en-US" w:eastAsia="zh-CN" w:bidi="ar"/>
        </w:rPr>
        <w:t>×</w:t>
      </w:r>
      <w:r>
        <w:rPr>
          <w:rFonts w:hint="eastAsia" w:ascii="仿宋_GB2312" w:hAnsi="仿宋_GB2312" w:eastAsia="仿宋_GB2312" w:cs="仿宋_GB2312"/>
          <w:sz w:val="32"/>
          <w:szCs w:val="28"/>
          <w:lang w:val="en-US" w:eastAsia="zh-CN"/>
        </w:rPr>
        <w:t>0.8进行折算</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，讲解时间为4分钟，每组得分前10名选手进入第二轮。</w:t>
      </w:r>
    </w:p>
    <w:p>
      <w:pPr>
        <w:keepNext w:val="0"/>
        <w:keepLines w:val="0"/>
        <w:pageBreakBefore w:val="0"/>
        <w:kinsoku/>
        <w:wordWrap/>
        <w:overflowPunct/>
        <w:topLinePunct w:val="0"/>
        <w:autoSpaceDN/>
        <w:bidi w:val="0"/>
        <w:adjustRightInd/>
        <w:snapToGrid w:val="0"/>
        <w:spacing w:line="540" w:lineRule="exact"/>
        <w:ind w:firstLine="709"/>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2.第二轮为随机命题讲解。</w:t>
      </w:r>
      <w:r>
        <w:rPr>
          <w:rFonts w:hint="eastAsia" w:ascii="仿宋_GB2312" w:hAnsi="仿宋_GB2312" w:eastAsia="仿宋_GB2312" w:cs="仿宋_GB2312"/>
          <w:sz w:val="32"/>
          <w:szCs w:val="28"/>
        </w:rPr>
        <w:t>自主命题讲解每组得分前10名选手参加随机命题讲解（随机命题题目见附件</w:t>
      </w:r>
      <w:r>
        <w:rPr>
          <w:rFonts w:hint="eastAsia" w:ascii="仿宋_GB2312" w:hAnsi="仿宋_GB2312" w:eastAsia="仿宋_GB2312" w:cs="仿宋_GB2312"/>
          <w:sz w:val="32"/>
          <w:szCs w:val="28"/>
          <w:lang w:val="en-US" w:eastAsia="zh-CN"/>
        </w:rPr>
        <w:t>4</w:t>
      </w:r>
      <w:r>
        <w:rPr>
          <w:rFonts w:hint="eastAsia" w:ascii="仿宋_GB2312" w:hAnsi="仿宋_GB2312" w:eastAsia="仿宋_GB2312" w:cs="仿宋_GB2312"/>
          <w:sz w:val="32"/>
          <w:szCs w:val="28"/>
        </w:rPr>
        <w:t>）。随机命题讲解，满分</w:t>
      </w:r>
      <w:r>
        <w:rPr>
          <w:rFonts w:ascii="仿宋_GB2312" w:hAnsi="仿宋_GB2312" w:eastAsia="仿宋_GB2312" w:cs="仿宋_GB2312"/>
          <w:sz w:val="32"/>
          <w:szCs w:val="28"/>
          <w:lang w:val="en"/>
        </w:rPr>
        <w:t>2</w:t>
      </w:r>
      <w:r>
        <w:rPr>
          <w:rFonts w:hint="eastAsia" w:ascii="仿宋_GB2312" w:hAnsi="仿宋_GB2312" w:eastAsia="仿宋_GB2312" w:cs="仿宋_GB2312"/>
          <w:sz w:val="32"/>
          <w:szCs w:val="28"/>
        </w:rPr>
        <w:t>0分，讲解时间为2分钟。具体内容由选手现场随机抽取确定，大屏幕显示20个带有数字编号的题目供选手选择，被选中的号码将显示对应图片，选手须根据随机命题题目主旨进行讲解。选手在抽取命题20秒准备时间后开始计时讲解，内容须包含自然科学和技术知识，否则不得分。</w:t>
      </w:r>
    </w:p>
    <w:p>
      <w:pPr>
        <w:keepNext w:val="0"/>
        <w:keepLines w:val="0"/>
        <w:pageBreakBefore w:val="0"/>
        <w:kinsoku/>
        <w:wordWrap/>
        <w:overflowPunct/>
        <w:topLinePunct w:val="0"/>
        <w:autoSpaceDN/>
        <w:bidi w:val="0"/>
        <w:adjustRightInd/>
        <w:snapToGrid w:val="0"/>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六、评分方式及评分标准</w:t>
      </w:r>
    </w:p>
    <w:p>
      <w:pPr>
        <w:keepNext w:val="0"/>
        <w:keepLines w:val="0"/>
        <w:pageBreakBefore w:val="0"/>
        <w:kinsoku/>
        <w:wordWrap/>
        <w:overflowPunct/>
        <w:topLinePunct w:val="0"/>
        <w:autoSpaceDN/>
        <w:bidi w:val="0"/>
        <w:adjustRightInd/>
        <w:snapToGrid w:val="0"/>
        <w:spacing w:line="540" w:lineRule="exact"/>
        <w:ind w:firstLine="709"/>
        <w:textAlignment w:val="auto"/>
        <w:rPr>
          <w:rFonts w:hint="eastAsia" w:ascii="方正楷体_GBK" w:hAnsi="方正楷体_GBK" w:eastAsia="方正楷体_GBK" w:cs="方正楷体_GBK"/>
          <w:sz w:val="32"/>
          <w:szCs w:val="28"/>
        </w:rPr>
      </w:pPr>
      <w:r>
        <w:rPr>
          <w:rFonts w:hint="eastAsia" w:ascii="方正楷体_GBK" w:hAnsi="方正楷体_GBK" w:eastAsia="方正楷体_GBK" w:cs="方正楷体_GBK"/>
          <w:sz w:val="32"/>
          <w:szCs w:val="28"/>
        </w:rPr>
        <w:t>（一）评分方式</w:t>
      </w:r>
    </w:p>
    <w:p>
      <w:pPr>
        <w:keepNext w:val="0"/>
        <w:keepLines w:val="0"/>
        <w:pageBreakBefore w:val="0"/>
        <w:kinsoku/>
        <w:wordWrap/>
        <w:overflowPunct/>
        <w:topLinePunct w:val="0"/>
        <w:autoSpaceDN/>
        <w:bidi w:val="0"/>
        <w:adjustRightInd/>
        <w:snapToGrid w:val="0"/>
        <w:spacing w:line="540" w:lineRule="exact"/>
        <w:ind w:firstLine="709"/>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比赛总分100分</w:t>
      </w:r>
      <w:r>
        <w:rPr>
          <w:rFonts w:hint="eastAsia" w:ascii="仿宋_GB2312" w:hAnsi="仿宋_GB2312" w:eastAsia="仿宋_GB2312" w:cs="仿宋_GB2312"/>
          <w:sz w:val="32"/>
          <w:szCs w:val="28"/>
          <w:lang w:eastAsia="zh-CN"/>
        </w:rPr>
        <w:t>，由第一轮成绩（满分</w:t>
      </w:r>
      <w:r>
        <w:rPr>
          <w:rFonts w:hint="eastAsia" w:ascii="仿宋_GB2312" w:hAnsi="仿宋_GB2312" w:eastAsia="仿宋_GB2312" w:cs="仿宋_GB2312"/>
          <w:sz w:val="32"/>
          <w:szCs w:val="28"/>
          <w:lang w:val="en-US" w:eastAsia="zh-CN"/>
        </w:rPr>
        <w:t>100分</w:t>
      </w:r>
      <w:r>
        <w:rPr>
          <w:rFonts w:ascii="sans-serif" w:hAnsi="sans-serif" w:eastAsia="sans-serif" w:cs="sans-serif"/>
          <w:i w:val="0"/>
          <w:caps w:val="0"/>
          <w:color w:val="333333"/>
          <w:spacing w:val="0"/>
          <w:kern w:val="0"/>
          <w:sz w:val="21"/>
          <w:szCs w:val="21"/>
          <w:lang w:val="en-US" w:eastAsia="zh-CN" w:bidi="ar"/>
        </w:rPr>
        <w:t>×</w:t>
      </w:r>
      <w:r>
        <w:rPr>
          <w:rFonts w:hint="eastAsia" w:ascii="仿宋_GB2312" w:hAnsi="仿宋_GB2312" w:eastAsia="仿宋_GB2312" w:cs="仿宋_GB2312"/>
          <w:sz w:val="32"/>
          <w:szCs w:val="28"/>
          <w:lang w:val="en-US" w:eastAsia="zh-CN"/>
        </w:rPr>
        <w:t>0.8进行折算</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lang w:val="en-US" w:eastAsia="zh-CN"/>
        </w:rPr>
        <w:t>与第二轮成绩（满分20分）组成</w:t>
      </w:r>
      <w:r>
        <w:rPr>
          <w:rFonts w:hint="eastAsia" w:ascii="仿宋_GB2312" w:hAnsi="仿宋_GB2312" w:eastAsia="仿宋_GB2312" w:cs="仿宋_GB2312"/>
          <w:sz w:val="32"/>
          <w:szCs w:val="28"/>
        </w:rPr>
        <w:t>，选手完成比赛后，由专家评委共同对比赛环节的自主命题讲解和随机命题讲解进行打分。打分采用现场打分、亮分和公布成绩的方式。去掉一个最高分和一个最低分，其他评委打分的平均数为选手每轮讲解得分。将选手的自主命题讲解分数、随机命题讲解分数及超时、少时扣分的分数相加，得出该选手的最终分数。若遇选手总分数相同则按评委的第二个最高分高低决定名次，若评委的第二个最高分相同则按第三个最高分高低决定名次，以此类推。评分保留到小数点后两位，时间不足或超时由记分员进行扣分记录。</w:t>
      </w:r>
    </w:p>
    <w:p>
      <w:pPr>
        <w:keepNext w:val="0"/>
        <w:keepLines w:val="0"/>
        <w:pageBreakBefore w:val="0"/>
        <w:kinsoku/>
        <w:wordWrap/>
        <w:overflowPunct/>
        <w:topLinePunct w:val="0"/>
        <w:autoSpaceDN/>
        <w:bidi w:val="0"/>
        <w:adjustRightInd/>
        <w:snapToGrid w:val="0"/>
        <w:spacing w:line="540" w:lineRule="exact"/>
        <w:ind w:firstLine="709"/>
        <w:textAlignment w:val="auto"/>
        <w:rPr>
          <w:rFonts w:hint="eastAsia" w:ascii="方正楷体_GBK" w:hAnsi="方正楷体_GBK" w:eastAsia="方正楷体_GBK" w:cs="方正楷体_GBK"/>
          <w:bCs/>
          <w:sz w:val="32"/>
          <w:szCs w:val="28"/>
        </w:rPr>
      </w:pPr>
      <w:r>
        <w:rPr>
          <w:rFonts w:hint="eastAsia" w:ascii="方正楷体_GBK" w:hAnsi="方正楷体_GBK" w:eastAsia="方正楷体_GBK" w:cs="方正楷体_GBK"/>
          <w:bCs/>
          <w:sz w:val="32"/>
          <w:szCs w:val="28"/>
        </w:rPr>
        <w:t>（二）评分标准</w:t>
      </w:r>
    </w:p>
    <w:p>
      <w:pPr>
        <w:keepNext w:val="0"/>
        <w:keepLines w:val="0"/>
        <w:pageBreakBefore w:val="0"/>
        <w:kinsoku/>
        <w:wordWrap/>
        <w:overflowPunct/>
        <w:topLinePunct w:val="0"/>
        <w:autoSpaceDN/>
        <w:bidi w:val="0"/>
        <w:adjustRightInd/>
        <w:snapToGrid w:val="0"/>
        <w:spacing w:line="540" w:lineRule="exact"/>
        <w:ind w:firstLine="709"/>
        <w:textAlignment w:val="auto"/>
        <w:rPr>
          <w:rFonts w:hint="eastAsia" w:ascii="仿宋_GB2312" w:hAnsi="仿宋_GB2312" w:eastAsia="仿宋_GB2312" w:cs="仿宋_GB2312"/>
          <w:b/>
          <w:bCs/>
          <w:sz w:val="32"/>
          <w:szCs w:val="28"/>
        </w:rPr>
      </w:pPr>
      <w:r>
        <w:rPr>
          <w:rFonts w:hint="eastAsia" w:ascii="仿宋_GB2312" w:hAnsi="仿宋_GB2312" w:eastAsia="仿宋_GB2312" w:cs="仿宋_GB2312"/>
          <w:b/>
          <w:bCs/>
          <w:sz w:val="32"/>
          <w:szCs w:val="28"/>
        </w:rPr>
        <w:t>1.自主命题讲解评分标准</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满分为</w:t>
      </w:r>
      <w:r>
        <w:rPr>
          <w:rFonts w:hint="eastAsia" w:ascii="仿宋_GB2312" w:hAnsi="仿宋_GB2312" w:eastAsia="仿宋_GB2312" w:cs="仿宋_GB2312"/>
          <w:sz w:val="32"/>
          <w:szCs w:val="28"/>
          <w:lang w:val="en-US" w:eastAsia="zh-CN"/>
        </w:rPr>
        <w:t>10</w:t>
      </w:r>
      <w:r>
        <w:rPr>
          <w:rFonts w:hint="eastAsia" w:ascii="仿宋_GB2312" w:hAnsi="仿宋_GB2312" w:eastAsia="仿宋_GB2312" w:cs="仿宋_GB2312"/>
          <w:sz w:val="32"/>
          <w:szCs w:val="28"/>
        </w:rPr>
        <w:t>0分</w:t>
      </w:r>
      <w:r>
        <w:rPr>
          <w:rFonts w:hint="eastAsia" w:ascii="仿宋_GB2312" w:hAnsi="仿宋_GB2312" w:eastAsia="仿宋_GB2312" w:cs="仿宋_GB2312"/>
          <w:sz w:val="32"/>
          <w:szCs w:val="28"/>
          <w:lang w:eastAsia="zh-CN"/>
        </w:rPr>
        <w:t>（第一轮最终成绩按照总成绩</w:t>
      </w:r>
      <w:r>
        <w:rPr>
          <w:rFonts w:ascii="sans-serif" w:hAnsi="sans-serif" w:eastAsia="sans-serif" w:cs="sans-serif"/>
          <w:i w:val="0"/>
          <w:caps w:val="0"/>
          <w:color w:val="333333"/>
          <w:spacing w:val="0"/>
          <w:kern w:val="0"/>
          <w:sz w:val="21"/>
          <w:szCs w:val="21"/>
          <w:lang w:val="en-US" w:eastAsia="zh-CN" w:bidi="ar"/>
        </w:rPr>
        <w:t>×</w:t>
      </w:r>
      <w:r>
        <w:rPr>
          <w:rFonts w:hint="eastAsia" w:ascii="仿宋_GB2312" w:hAnsi="仿宋_GB2312" w:eastAsia="仿宋_GB2312" w:cs="仿宋_GB2312"/>
          <w:sz w:val="32"/>
          <w:szCs w:val="28"/>
          <w:lang w:val="en-US" w:eastAsia="zh-CN"/>
        </w:rPr>
        <w:t>0.8进行折算</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，评委分别从内容陈述、语言表达、整体形象三方面进行评分。内容必须包含自然科学和技术知识，否则不得分。</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（1）内容陈述（</w:t>
      </w:r>
      <w:r>
        <w:rPr>
          <w:rFonts w:hint="eastAsia" w:ascii="仿宋_GB2312" w:hAnsi="仿宋_GB2312" w:eastAsia="仿宋_GB2312" w:cs="仿宋_GB2312"/>
          <w:sz w:val="32"/>
          <w:szCs w:val="28"/>
          <w:lang w:val="en-US" w:eastAsia="zh-CN"/>
        </w:rPr>
        <w:t>50</w:t>
      </w:r>
      <w:r>
        <w:rPr>
          <w:rFonts w:hint="eastAsia" w:ascii="仿宋_GB2312" w:hAnsi="仿宋_GB2312" w:eastAsia="仿宋_GB2312" w:cs="仿宋_GB2312"/>
          <w:sz w:val="32"/>
          <w:szCs w:val="28"/>
        </w:rPr>
        <w:t>分）</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科学准确、重点突出</w:t>
      </w:r>
      <w:r>
        <w:rPr>
          <w:rFonts w:ascii="仿宋_GB2312" w:hAnsi="仿宋_GB2312" w:eastAsia="仿宋_GB2312" w:cs="仿宋_GB2312"/>
          <w:sz w:val="32"/>
          <w:szCs w:val="28"/>
        </w:rPr>
        <w:t>（</w:t>
      </w:r>
      <w:r>
        <w:rPr>
          <w:rFonts w:hint="eastAsia" w:ascii="仿宋_GB2312" w:hAnsi="仿宋_GB2312" w:eastAsia="仿宋_GB2312" w:cs="仿宋_GB2312"/>
          <w:sz w:val="32"/>
          <w:szCs w:val="28"/>
          <w:lang w:val="en-US" w:eastAsia="zh-CN"/>
        </w:rPr>
        <w:t>3</w:t>
      </w:r>
      <w:r>
        <w:rPr>
          <w:rFonts w:hint="eastAsia" w:ascii="仿宋_GB2312" w:hAnsi="仿宋_GB2312" w:eastAsia="仿宋_GB2312" w:cs="仿宋_GB2312"/>
          <w:sz w:val="32"/>
          <w:szCs w:val="28"/>
        </w:rPr>
        <w:t>0</w:t>
      </w:r>
      <w:r>
        <w:rPr>
          <w:rFonts w:ascii="仿宋_GB2312" w:hAnsi="仿宋_GB2312" w:eastAsia="仿宋_GB2312" w:cs="仿宋_GB2312"/>
          <w:sz w:val="32"/>
          <w:szCs w:val="28"/>
        </w:rPr>
        <w:t>分）</w:t>
      </w:r>
      <w:r>
        <w:rPr>
          <w:rFonts w:hint="eastAsia" w:ascii="仿宋_GB2312" w:hAnsi="仿宋_GB2312" w:eastAsia="仿宋_GB2312" w:cs="仿宋_GB2312"/>
          <w:sz w:val="32"/>
          <w:szCs w:val="28"/>
        </w:rPr>
        <w:t>；</w:t>
      </w:r>
    </w:p>
    <w:p>
      <w:pPr>
        <w:keepNext w:val="0"/>
        <w:keepLines w:val="0"/>
        <w:pageBreakBefore w:val="0"/>
        <w:kinsoku/>
        <w:wordWrap/>
        <w:overflowPunct/>
        <w:topLinePunct w:val="0"/>
        <w:autoSpaceDE w:val="0"/>
        <w:autoSpaceDN/>
        <w:bidi w:val="0"/>
        <w:adjustRightInd/>
        <w:spacing w:line="540" w:lineRule="exact"/>
        <w:ind w:firstLine="640"/>
        <w:textAlignment w:val="auto"/>
        <w:rPr>
          <w:rFonts w:hint="eastAsia" w:ascii="仿宋_GB2312" w:hAnsi="仿宋_GB2312" w:eastAsia="仿宋_GB2312" w:cs="仿宋_GB2312"/>
          <w:sz w:val="32"/>
          <w:szCs w:val="28"/>
        </w:rPr>
      </w:pPr>
      <w:r>
        <w:rPr>
          <w:rFonts w:ascii="仿宋_GB2312" w:hAnsi="仿宋_GB2312" w:eastAsia="仿宋_GB2312" w:cs="仿宋_GB2312"/>
          <w:sz w:val="32"/>
          <w:szCs w:val="28"/>
        </w:rPr>
        <w:t>主次分明、详简得当（10分）；</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层次清楚、合乎逻辑</w:t>
      </w:r>
      <w:r>
        <w:rPr>
          <w:rFonts w:ascii="仿宋_GB2312" w:hAnsi="仿宋_GB2312" w:eastAsia="仿宋_GB2312" w:cs="仿宋_GB2312"/>
          <w:sz w:val="32"/>
          <w:szCs w:val="28"/>
        </w:rPr>
        <w:t>（10分）</w:t>
      </w:r>
      <w:r>
        <w:rPr>
          <w:rFonts w:hint="eastAsia" w:ascii="仿宋_GB2312" w:hAnsi="仿宋_GB2312" w:eastAsia="仿宋_GB2312" w:cs="仿宋_GB2312"/>
          <w:sz w:val="32"/>
          <w:szCs w:val="28"/>
        </w:rPr>
        <w:t>。</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（2）表达效果（</w:t>
      </w:r>
      <w:r>
        <w:rPr>
          <w:rFonts w:hint="eastAsia" w:ascii="仿宋_GB2312" w:hAnsi="仿宋_GB2312" w:eastAsia="仿宋_GB2312" w:cs="仿宋_GB2312"/>
          <w:sz w:val="32"/>
          <w:szCs w:val="28"/>
          <w:lang w:val="en-US" w:eastAsia="zh-CN"/>
        </w:rPr>
        <w:t>4</w:t>
      </w:r>
      <w:r>
        <w:rPr>
          <w:rFonts w:hint="eastAsia" w:ascii="仿宋_GB2312" w:hAnsi="仿宋_GB2312" w:eastAsia="仿宋_GB2312" w:cs="仿宋_GB2312"/>
          <w:sz w:val="32"/>
          <w:szCs w:val="28"/>
        </w:rPr>
        <w:t>0分）</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通俗易懂、深入浅出</w:t>
      </w:r>
      <w:r>
        <w:rPr>
          <w:rFonts w:ascii="仿宋_GB2312" w:hAnsi="仿宋_GB2312" w:eastAsia="仿宋_GB2312" w:cs="仿宋_GB2312"/>
          <w:sz w:val="32"/>
          <w:szCs w:val="28"/>
        </w:rPr>
        <w:t>（1</w:t>
      </w:r>
      <w:r>
        <w:rPr>
          <w:rFonts w:hint="eastAsia" w:ascii="仿宋_GB2312" w:hAnsi="仿宋_GB2312" w:eastAsia="仿宋_GB2312" w:cs="仿宋_GB2312"/>
          <w:sz w:val="32"/>
          <w:szCs w:val="28"/>
          <w:lang w:val="en-US" w:eastAsia="zh-CN"/>
        </w:rPr>
        <w:t>5</w:t>
      </w:r>
      <w:r>
        <w:rPr>
          <w:rFonts w:ascii="仿宋_GB2312" w:hAnsi="仿宋_GB2312" w:eastAsia="仿宋_GB2312" w:cs="仿宋_GB2312"/>
          <w:sz w:val="32"/>
          <w:szCs w:val="28"/>
        </w:rPr>
        <w:t>分）</w:t>
      </w:r>
      <w:r>
        <w:rPr>
          <w:rFonts w:hint="eastAsia" w:ascii="仿宋_GB2312" w:hAnsi="仿宋_GB2312" w:eastAsia="仿宋_GB2312" w:cs="仿宋_GB2312"/>
          <w:sz w:val="32"/>
          <w:szCs w:val="28"/>
        </w:rPr>
        <w:t>；</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张弛有度、侧重讲解</w:t>
      </w:r>
      <w:r>
        <w:rPr>
          <w:rFonts w:ascii="仿宋_GB2312" w:hAnsi="仿宋_GB2312" w:eastAsia="仿宋_GB2312" w:cs="仿宋_GB2312"/>
          <w:sz w:val="32"/>
          <w:szCs w:val="28"/>
        </w:rPr>
        <w:t>（1</w:t>
      </w:r>
      <w:r>
        <w:rPr>
          <w:rFonts w:hint="eastAsia" w:ascii="仿宋_GB2312" w:hAnsi="仿宋_GB2312" w:eastAsia="仿宋_GB2312" w:cs="仿宋_GB2312"/>
          <w:sz w:val="32"/>
          <w:szCs w:val="28"/>
          <w:lang w:val="en-US" w:eastAsia="zh-CN"/>
        </w:rPr>
        <w:t>5</w:t>
      </w:r>
      <w:r>
        <w:rPr>
          <w:rFonts w:ascii="仿宋_GB2312" w:hAnsi="仿宋_GB2312" w:eastAsia="仿宋_GB2312" w:cs="仿宋_GB2312"/>
          <w:sz w:val="32"/>
          <w:szCs w:val="28"/>
        </w:rPr>
        <w:t>分）</w:t>
      </w:r>
      <w:r>
        <w:rPr>
          <w:rFonts w:hint="eastAsia" w:ascii="仿宋_GB2312" w:hAnsi="仿宋_GB2312" w:eastAsia="仿宋_GB2312" w:cs="仿宋_GB2312"/>
          <w:sz w:val="32"/>
          <w:szCs w:val="28"/>
        </w:rPr>
        <w:t>；</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发音标准、吐字清晰</w:t>
      </w:r>
      <w:r>
        <w:rPr>
          <w:rFonts w:ascii="仿宋_GB2312" w:hAnsi="仿宋_GB2312" w:eastAsia="仿宋_GB2312" w:cs="仿宋_GB2312"/>
          <w:sz w:val="32"/>
          <w:szCs w:val="28"/>
        </w:rPr>
        <w:t>（10分）</w:t>
      </w:r>
      <w:r>
        <w:rPr>
          <w:rFonts w:hint="eastAsia" w:ascii="仿宋_GB2312" w:hAnsi="仿宋_GB2312" w:eastAsia="仿宋_GB2312" w:cs="仿宋_GB2312"/>
          <w:sz w:val="32"/>
          <w:szCs w:val="28"/>
        </w:rPr>
        <w:t>。</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（3）整体形象（10分）</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衣着得体、精神饱满</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5</w:t>
      </w:r>
      <w:r>
        <w:rPr>
          <w:rFonts w:ascii="仿宋_GB2312" w:hAnsi="仿宋_GB2312" w:eastAsia="仿宋_GB2312" w:cs="仿宋_GB2312"/>
          <w:sz w:val="32"/>
          <w:szCs w:val="28"/>
        </w:rPr>
        <w:t>分）</w:t>
      </w:r>
      <w:r>
        <w:rPr>
          <w:rFonts w:hint="eastAsia" w:ascii="仿宋_GB2312" w:hAnsi="仿宋_GB2312" w:eastAsia="仿宋_GB2312" w:cs="仿宋_GB2312"/>
          <w:sz w:val="32"/>
          <w:szCs w:val="28"/>
        </w:rPr>
        <w:t>；</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举止大方、自然协调</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5</w:t>
      </w:r>
      <w:r>
        <w:rPr>
          <w:rFonts w:ascii="仿宋_GB2312" w:hAnsi="仿宋_GB2312" w:eastAsia="仿宋_GB2312" w:cs="仿宋_GB2312"/>
          <w:sz w:val="32"/>
          <w:szCs w:val="28"/>
        </w:rPr>
        <w:t>分）</w:t>
      </w:r>
      <w:r>
        <w:rPr>
          <w:rFonts w:hint="eastAsia" w:ascii="仿宋_GB2312" w:hAnsi="仿宋_GB2312" w:eastAsia="仿宋_GB2312" w:cs="仿宋_GB2312"/>
          <w:sz w:val="32"/>
          <w:szCs w:val="28"/>
        </w:rPr>
        <w:t>。</w:t>
      </w:r>
    </w:p>
    <w:p>
      <w:pPr>
        <w:keepNext w:val="0"/>
        <w:keepLines w:val="0"/>
        <w:pageBreakBefore w:val="0"/>
        <w:kinsoku/>
        <w:wordWrap/>
        <w:overflowPunct/>
        <w:topLinePunct w:val="0"/>
        <w:autoSpaceDN/>
        <w:bidi w:val="0"/>
        <w:adjustRightInd/>
        <w:snapToGrid w:val="0"/>
        <w:spacing w:line="540" w:lineRule="exact"/>
        <w:ind w:firstLine="709"/>
        <w:textAlignment w:val="auto"/>
        <w:rPr>
          <w:rFonts w:hint="eastAsia" w:ascii="仿宋_GB2312" w:hAnsi="仿宋_GB2312" w:eastAsia="仿宋_GB2312" w:cs="仿宋_GB2312"/>
          <w:b/>
          <w:bCs/>
          <w:sz w:val="32"/>
          <w:szCs w:val="28"/>
        </w:rPr>
      </w:pPr>
      <w:r>
        <w:rPr>
          <w:rFonts w:hint="eastAsia" w:ascii="仿宋_GB2312" w:hAnsi="仿宋_GB2312" w:eastAsia="仿宋_GB2312" w:cs="仿宋_GB2312"/>
          <w:b/>
          <w:bCs/>
          <w:sz w:val="32"/>
          <w:szCs w:val="28"/>
        </w:rPr>
        <w:t>2.随机命题讲解评分标准</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随机命题讲解满分为20分，现场有20个带数字编号的题目供选手选择，选手根据选取号码对应的图片内容进行讲解。内容必须包含自然科学和技术知识，否则不得分。专家评委将根据以下四个方面进行评分。</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①主题立论一致，合乎逻辑（6分）；</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②内容重点突出，寓意深刻（6分）；</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③密切联系实际，特色鲜明（4分）；</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④讲解思路清晰，语言流畅（4分）。</w:t>
      </w:r>
    </w:p>
    <w:p>
      <w:pPr>
        <w:keepNext w:val="0"/>
        <w:keepLines w:val="0"/>
        <w:pageBreakBefore w:val="0"/>
        <w:kinsoku/>
        <w:wordWrap/>
        <w:overflowPunct/>
        <w:topLinePunct w:val="0"/>
        <w:autoSpaceDN/>
        <w:bidi w:val="0"/>
        <w:adjustRightInd/>
        <w:snapToGrid w:val="0"/>
        <w:spacing w:line="540" w:lineRule="exact"/>
        <w:ind w:firstLine="709"/>
        <w:textAlignment w:val="auto"/>
        <w:rPr>
          <w:rFonts w:hint="eastAsia" w:ascii="仿宋_GB2312" w:hAnsi="仿宋_GB2312" w:eastAsia="仿宋_GB2312" w:cs="仿宋_GB2312"/>
          <w:b/>
          <w:bCs/>
          <w:sz w:val="32"/>
          <w:szCs w:val="28"/>
        </w:rPr>
      </w:pPr>
      <w:r>
        <w:rPr>
          <w:rFonts w:hint="eastAsia" w:ascii="仿宋_GB2312" w:hAnsi="仿宋_GB2312" w:eastAsia="仿宋_GB2312" w:cs="仿宋_GB2312"/>
          <w:b/>
          <w:bCs/>
          <w:sz w:val="32"/>
          <w:szCs w:val="28"/>
        </w:rPr>
        <w:t>3.超时、少时扣分标准</w:t>
      </w:r>
    </w:p>
    <w:p>
      <w:pPr>
        <w:keepNext w:val="0"/>
        <w:keepLines w:val="0"/>
        <w:pageBreakBefore w:val="0"/>
        <w:kinsoku/>
        <w:wordWrap/>
        <w:overflowPunct/>
        <w:topLinePunct w:val="0"/>
        <w:autoSpaceDN/>
        <w:bidi w:val="0"/>
        <w:adjustRightInd/>
        <w:spacing w:line="540" w:lineRule="exact"/>
        <w:ind w:firstLine="64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（1）自主命题讲解限时4分钟，不足3分钟扣2分，超时1-10秒扣2分；超时10秒讲解终止；</w:t>
      </w:r>
    </w:p>
    <w:p>
      <w:pPr>
        <w:keepNext w:val="0"/>
        <w:keepLines w:val="0"/>
        <w:pageBreakBefore w:val="0"/>
        <w:kinsoku/>
        <w:wordWrap/>
        <w:overflowPunct/>
        <w:topLinePunct w:val="0"/>
        <w:autoSpaceDN/>
        <w:bidi w:val="0"/>
        <w:adjustRightInd/>
        <w:spacing w:line="540" w:lineRule="exact"/>
        <w:ind w:firstLine="64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（2）随机命题讲解限时2分钟，不足1分钟扣2分，超时1-10秒扣2分；超时10秒讲解终止；</w:t>
      </w:r>
    </w:p>
    <w:p>
      <w:pPr>
        <w:keepNext w:val="0"/>
        <w:keepLines w:val="0"/>
        <w:pageBreakBefore w:val="0"/>
        <w:kinsoku/>
        <w:wordWrap/>
        <w:overflowPunct/>
        <w:topLinePunct w:val="0"/>
        <w:autoSpaceDN/>
        <w:bidi w:val="0"/>
        <w:adjustRightInd/>
        <w:spacing w:line="540" w:lineRule="exact"/>
        <w:ind w:firstLine="64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（3）用时扣分情况由工作人员记录。</w:t>
      </w:r>
    </w:p>
    <w:p>
      <w:pPr>
        <w:keepNext w:val="0"/>
        <w:keepLines w:val="0"/>
        <w:pageBreakBefore w:val="0"/>
        <w:kinsoku/>
        <w:wordWrap/>
        <w:overflowPunct/>
        <w:topLinePunct w:val="0"/>
        <w:autoSpaceDN/>
        <w:bidi w:val="0"/>
        <w:adjustRightInd/>
        <w:snapToGrid w:val="0"/>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七、奖项设置</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 w:eastAsia="仿宋_GB2312"/>
          <w:sz w:val="32"/>
          <w:szCs w:val="32"/>
        </w:rPr>
      </w:pPr>
      <w:r>
        <w:rPr>
          <w:rFonts w:hint="eastAsia" w:ascii="仿宋_GB2312" w:hAnsi="仿宋_GB2312" w:eastAsia="仿宋_GB2312" w:cs="仿宋_GB2312"/>
          <w:sz w:val="32"/>
          <w:szCs w:val="28"/>
        </w:rPr>
        <w:t>1.第七届哈尔滨市科普讲解大赛设置一等奖、二等奖、三等奖和优秀奖。所有奖项均由选手综合得分排名确定，并择优推荐选手参加省级、国家级</w:t>
      </w:r>
      <w:r>
        <w:rPr>
          <w:rFonts w:hint="eastAsia" w:ascii="仿宋_GB2312" w:hAnsi="仿宋" w:eastAsia="仿宋_GB2312"/>
          <w:sz w:val="32"/>
          <w:szCs w:val="32"/>
        </w:rPr>
        <w:t>科普讲解大赛。</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一等奖3名，两轮比赛综合得分的第一、二、三名获得一等奖，并颁发获奖证书；</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二等奖7名，两轮比赛综合得分第四名至第十名获得二等奖，并颁发获奖证书；</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三等奖10名，两轮比赛综合得分第十一名至第二十名获得三等奖，并颁发获奖证书；</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lang w:val="en"/>
        </w:rPr>
      </w:pPr>
      <w:r>
        <w:rPr>
          <w:rFonts w:hint="eastAsia" w:ascii="仿宋_GB2312" w:hAnsi="仿宋_GB2312" w:eastAsia="仿宋_GB2312" w:cs="仿宋_GB2312"/>
          <w:sz w:val="32"/>
          <w:szCs w:val="28"/>
        </w:rPr>
        <w:t>优秀奖若干名，未进入第二轮比赛的选手获优秀奖，颁发获奖证书。</w:t>
      </w:r>
    </w:p>
    <w:p>
      <w:pPr>
        <w:keepNext w:val="0"/>
        <w:keepLines w:val="0"/>
        <w:pageBreakBefore w:val="0"/>
        <w:tabs>
          <w:tab w:val="left" w:pos="7655"/>
        </w:tabs>
        <w:kinsoku/>
        <w:wordWrap/>
        <w:overflowPunct/>
        <w:topLinePunct w:val="0"/>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2.根据单位的组织情况，设置优秀组织奖若干名，颁发获奖证书。</w:t>
      </w:r>
    </w:p>
    <w:p>
      <w:pPr>
        <w:keepNext w:val="0"/>
        <w:keepLines w:val="0"/>
        <w:pageBreakBefore w:val="0"/>
        <w:kinsoku/>
        <w:wordWrap/>
        <w:overflowPunct/>
        <w:topLinePunct w:val="0"/>
        <w:autoSpaceDN/>
        <w:bidi w:val="0"/>
        <w:adjustRightInd/>
        <w:snapToGrid w:val="0"/>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八、其他要求</w:t>
      </w:r>
    </w:p>
    <w:p>
      <w:pPr>
        <w:keepNext w:val="0"/>
        <w:keepLines w:val="0"/>
        <w:pageBreakBefore w:val="0"/>
        <w:shd w:val="clear" w:color="000000" w:fill="auto"/>
        <w:tabs>
          <w:tab w:val="left" w:pos="916"/>
          <w:tab w:val="left" w:pos="1832"/>
          <w:tab w:val="left" w:pos="2748"/>
          <w:tab w:val="left" w:pos="3664"/>
          <w:tab w:val="left" w:pos="4580"/>
          <w:tab w:val="left" w:pos="5496"/>
          <w:tab w:val="left" w:pos="6412"/>
          <w:tab w:val="left" w:pos="7328"/>
          <w:tab w:val="left" w:pos="8244"/>
          <w:tab w:val="left" w:pos="9160"/>
        </w:tabs>
        <w:kinsoku/>
        <w:wordWrap/>
        <w:overflowPunct/>
        <w:topLinePunct w:val="0"/>
        <w:autoSpaceDN/>
        <w:bidi w:val="0"/>
        <w:adjustRightInd/>
        <w:spacing w:line="540" w:lineRule="exact"/>
        <w:ind w:firstLine="642"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1.报名时间及要求。</w:t>
      </w:r>
      <w:r>
        <w:rPr>
          <w:rFonts w:ascii="仿宋_GB2312" w:hAnsi="仿宋_GB2312" w:eastAsia="仿宋_GB2312" w:cs="仿宋_GB2312"/>
          <w:sz w:val="32"/>
          <w:szCs w:val="32"/>
          <w:lang w:val="en"/>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lang w:val="en"/>
        </w:rPr>
        <w:t>29</w:t>
      </w:r>
      <w:r>
        <w:rPr>
          <w:rFonts w:hint="eastAsia" w:ascii="仿宋_GB2312" w:hAnsi="仿宋_GB2312" w:eastAsia="仿宋_GB2312" w:cs="仿宋_GB2312"/>
          <w:sz w:val="32"/>
          <w:szCs w:val="32"/>
        </w:rPr>
        <w:t>日前将《第七届哈尔滨市科普讲解大赛报名表》（附件2）</w:t>
      </w:r>
      <w:r>
        <w:rPr>
          <w:rFonts w:hint="eastAsia" w:ascii="仿宋_GB2312" w:hAnsi="仿宋_GB2312" w:eastAsia="仿宋_GB2312" w:cs="仿宋_GB2312"/>
          <w:sz w:val="32"/>
          <w:szCs w:val="32"/>
          <w:lang w:eastAsia="zh-CN"/>
        </w:rPr>
        <w:t>签字盖章</w:t>
      </w:r>
      <w:r>
        <w:rPr>
          <w:rFonts w:hint="eastAsia" w:ascii="仿宋_GB2312" w:hAnsi="仿宋_GB2312" w:eastAsia="仿宋_GB2312" w:cs="仿宋_GB2312"/>
          <w:sz w:val="32"/>
          <w:szCs w:val="32"/>
        </w:rPr>
        <w:t>扫描件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《第七届哈尔滨市科普讲解大赛</w:t>
      </w:r>
      <w:r>
        <w:rPr>
          <w:rFonts w:hint="eastAsia" w:ascii="仿宋_GB2312" w:hAnsi="仿宋_GB2312" w:eastAsia="仿宋_GB2312" w:cs="仿宋_GB2312"/>
          <w:sz w:val="32"/>
          <w:szCs w:val="32"/>
          <w:lang w:eastAsia="zh-CN"/>
        </w:rPr>
        <w:t>基本信息</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电子版（附件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及参赛PPT或视频（</w:t>
      </w:r>
      <w:r>
        <w:rPr>
          <w:rFonts w:hint="eastAsia" w:ascii="仿宋_GB2312" w:hAnsi="仿宋_GB2312" w:eastAsia="仿宋_GB2312" w:cs="仿宋_GB2312"/>
          <w:sz w:val="32"/>
          <w:szCs w:val="32"/>
          <w:lang w:eastAsia="zh-CN"/>
        </w:rPr>
        <w:t>所有材料均</w:t>
      </w:r>
      <w:r>
        <w:rPr>
          <w:rFonts w:hint="eastAsia" w:ascii="仿宋_GB2312" w:hAnsi="仿宋_GB2312" w:eastAsia="仿宋_GB2312" w:cs="仿宋_GB2312"/>
          <w:sz w:val="32"/>
          <w:szCs w:val="32"/>
        </w:rPr>
        <w:t>需备注：姓名+题目）发送至指定邮箱</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28"/>
        </w:rPr>
        <w:t>kjjghckp2024@163.com。</w:t>
      </w:r>
    </w:p>
    <w:p>
      <w:pPr>
        <w:keepNext w:val="0"/>
        <w:keepLines w:val="0"/>
        <w:pageBreakBefore w:val="0"/>
        <w:kinsoku/>
        <w:wordWrap/>
        <w:overflowPunct/>
        <w:topLinePunct w:val="0"/>
        <w:autoSpaceDN/>
        <w:bidi w:val="0"/>
        <w:adjustRightInd/>
        <w:spacing w:line="54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参赛选手请于4月11日9时至14时到深哈产业园创新创业中心报告厅报到，熟悉场地，15时进行抽签仪式。</w:t>
      </w:r>
    </w:p>
    <w:p>
      <w:pPr>
        <w:keepNext w:val="0"/>
        <w:keepLines w:val="0"/>
        <w:pageBreakBefore w:val="0"/>
        <w:shd w:val="clear" w:color="000000" w:fill="auto"/>
        <w:tabs>
          <w:tab w:val="left" w:pos="916"/>
          <w:tab w:val="left" w:pos="1832"/>
          <w:tab w:val="left" w:pos="2748"/>
          <w:tab w:val="left" w:pos="3664"/>
          <w:tab w:val="left" w:pos="4580"/>
          <w:tab w:val="left" w:pos="5496"/>
          <w:tab w:val="left" w:pos="6412"/>
          <w:tab w:val="left" w:pos="7328"/>
          <w:tab w:val="left" w:pos="8244"/>
          <w:tab w:val="left" w:pos="9160"/>
        </w:tabs>
        <w:kinsoku/>
        <w:wordWrap/>
        <w:overflowPunct/>
        <w:topLinePunct w:val="0"/>
        <w:autoSpaceDN/>
        <w:bidi w:val="0"/>
        <w:adjustRightInd/>
        <w:spacing w:line="540" w:lineRule="exact"/>
        <w:ind w:firstLine="642"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2.讲解要求。</w:t>
      </w:r>
      <w:r>
        <w:rPr>
          <w:rFonts w:hint="eastAsia" w:ascii="仿宋_GB2312" w:hAnsi="仿宋_GB2312" w:eastAsia="仿宋_GB2312" w:cs="仿宋_GB2312"/>
          <w:sz w:val="32"/>
          <w:szCs w:val="28"/>
        </w:rPr>
        <w:t>选手讲解时可说明情景设置情况，明确讲解对象。现场提供耳麦、遥控器、激光笔和用于播放视频或PPT的电脑，要求佩戴耳麦，手持摇控器，全程自行操作视频或PPT等，不得由他人协助。选手制作视频统一用MP4格式，画面比例横版16:9，像素尺寸1920×1080；提供的PPT（可配有背景音乐）须为WPS、OFFICE 2010等通用版本，文件大小不超过50M，PPT中若插入视频请使用MP4格式(视频、音频及画面为整体视频，不可单独分割）。</w:t>
      </w:r>
    </w:p>
    <w:p>
      <w:pPr>
        <w:keepNext w:val="0"/>
        <w:keepLines w:val="0"/>
        <w:pageBreakBefore w:val="0"/>
        <w:kinsoku/>
        <w:wordWrap/>
        <w:overflowPunct/>
        <w:topLinePunct w:val="0"/>
        <w:autoSpaceDN/>
        <w:bidi w:val="0"/>
        <w:adjustRightInd/>
        <w:spacing w:line="540" w:lineRule="exact"/>
        <w:ind w:firstLine="642" w:firstLineChars="200"/>
        <w:jc w:val="left"/>
        <w:textAlignment w:val="auto"/>
        <w:rPr>
          <w:rFonts w:hint="eastAsia" w:eastAsia="仿宋_GB2312"/>
          <w:lang w:val="en" w:eastAsia="zh-CN"/>
        </w:rPr>
      </w:pPr>
      <w:r>
        <w:rPr>
          <w:rFonts w:hint="eastAsia" w:ascii="仿宋_GB2312" w:hAnsi="仿宋_GB2312" w:eastAsia="仿宋_GB2312" w:cs="仿宋_GB2312"/>
          <w:b/>
          <w:bCs/>
          <w:sz w:val="32"/>
          <w:szCs w:val="28"/>
        </w:rPr>
        <w:t>3.会务联系。</w:t>
      </w:r>
      <w:r>
        <w:rPr>
          <w:rFonts w:hint="eastAsia" w:ascii="仿宋_GB2312" w:hAnsi="仿宋_GB2312" w:eastAsia="仿宋_GB2312" w:cs="仿宋_GB2312"/>
          <w:sz w:val="32"/>
          <w:szCs w:val="28"/>
        </w:rPr>
        <w:t>为便于赛事组织和沟通，请各相关单位选定具体赛事负责人并加入大赛会务组QQ群：776066980，相关会务安排将在群中发布</w:t>
      </w:r>
      <w:r>
        <w:rPr>
          <w:rFonts w:hint="eastAsia" w:ascii="仿宋_GB2312" w:hAnsi="仿宋_GB2312" w:eastAsia="仿宋_GB2312" w:cs="仿宋_GB2312"/>
          <w:sz w:val="32"/>
          <w:szCs w:val="28"/>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
    <w:altName w:val="Droid Sans Fallback"/>
    <w:panose1 w:val="020F0502020204030204"/>
    <w:charset w:val="00"/>
    <w:family w:val="auto"/>
    <w:pitch w:val="default"/>
    <w:sig w:usb0="00000000" w:usb1="00000000" w:usb2="00000000" w:usb3="00000000" w:csb0="FFFFFFFF" w:csb1="00000000"/>
  </w:font>
  <w:font w:name="仿宋_GB2312">
    <w:panose1 w:val="02010609030101010101"/>
    <w:charset w:val="86"/>
    <w:family w:val="modern"/>
    <w:pitch w:val="default"/>
    <w:sig w:usb0="00000001" w:usb1="080E0000" w:usb2="00000000" w:usb3="00000000" w:csb0="00040000" w:csb1="00000000"/>
  </w:font>
  <w:font w:name="??_GB2312">
    <w:altName w:val="Droid Sans Fallback"/>
    <w:panose1 w:val="020F0502020204030204"/>
    <w:charset w:val="00"/>
    <w:family w:val="auto"/>
    <w:pitch w:val="default"/>
    <w:sig w:usb0="00000000" w:usb1="00000000" w:usb2="00000000" w:usb3="00000000" w:csb0="FFFFFF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sans-serif">
    <w:altName w:val="华文仿宋"/>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Nimbus Roman No9 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FE9A23"/>
    <w:multiLevelType w:val="singleLevel"/>
    <w:tmpl w:val="FCFE9A2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F31CB"/>
    <w:rsid w:val="397F31CB"/>
    <w:rsid w:val="EFDFA1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Times New Roman" w:cs="Times New Roman"/>
      <w:lang w:val="en-US" w:eastAsia="zh-CN" w:bidi="ar-SA"/>
    </w:rPr>
  </w:style>
  <w:style w:type="paragraph" w:styleId="2">
    <w:name w:val="heading 1"/>
    <w:basedOn w:val="1"/>
    <w:next w:val="1"/>
    <w:qFormat/>
    <w:uiPriority w:val="7"/>
    <w:pPr>
      <w:widowControl/>
      <w:wordWrap/>
      <w:autoSpaceDE/>
      <w:autoSpaceDN/>
      <w:ind w:firstLine="576"/>
      <w:outlineLvl w:val="0"/>
    </w:pPr>
    <w:rPr>
      <w:rFonts w:ascii="??" w:hAnsi="??" w:eastAsia="??"/>
      <w:w w:val="100"/>
      <w:sz w:val="20"/>
      <w:szCs w:val="20"/>
      <w:shd w:val="clear" w:color="auto" w:fill="auto"/>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2024-03-13T16:18:00Z</dcterms:created>
  <dc:creator>greatwall</dc:creator>
  <cp:lastModifiedBy>greatwall</cp:lastModifiedBy>
  <dcterms:modified xsi:type="dcterms:W3CDTF">2024-03-13T13:06:26Z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